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2" w:rsidRDefault="00135443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1139190" cy="140716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8BD" w:rsidRP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Default="00716ADE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851F14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183322">
        <w:rPr>
          <w:rFonts w:ascii="Times New Roman" w:hAnsi="Times New Roman" w:cs="Times New Roman"/>
          <w:b/>
          <w:sz w:val="28"/>
          <w:szCs w:val="28"/>
        </w:rPr>
        <w:t>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r w:rsidR="00716ADE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</w:t>
      </w:r>
      <w:r w:rsidR="00A44633">
        <w:rPr>
          <w:sz w:val="28"/>
          <w:szCs w:val="28"/>
        </w:rPr>
        <w:t>1</w:t>
      </w:r>
      <w:r>
        <w:rPr>
          <w:sz w:val="28"/>
          <w:szCs w:val="28"/>
        </w:rPr>
        <w:t>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 области от</w:t>
      </w:r>
      <w:r w:rsidR="002C41D9">
        <w:rPr>
          <w:sz w:val="28"/>
          <w:szCs w:val="28"/>
        </w:rPr>
        <w:t xml:space="preserve"> 29.08.2022г. №48), подпункт 2.8</w:t>
      </w:r>
      <w:r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proofErr w:type="spellStart"/>
      <w:r w:rsidR="00A44633">
        <w:rPr>
          <w:sz w:val="28"/>
          <w:szCs w:val="28"/>
        </w:rPr>
        <w:t>Становской</w:t>
      </w:r>
      <w:proofErr w:type="spellEnd"/>
      <w:r>
        <w:rPr>
          <w:sz w:val="28"/>
          <w:szCs w:val="28"/>
        </w:rPr>
        <w:t xml:space="preserve"> сельсовет» Тимского района Курской области за 2022 год» </w:t>
      </w:r>
      <w:r w:rsidR="00A44633">
        <w:rPr>
          <w:sz w:val="28"/>
          <w:szCs w:val="28"/>
          <w:lang w:eastAsia="ru-RU"/>
        </w:rPr>
        <w:t>от 30 января 2023 года №07</w:t>
      </w:r>
      <w:r>
        <w:rPr>
          <w:sz w:val="28"/>
          <w:szCs w:val="28"/>
          <w:lang w:eastAsia="ru-RU"/>
        </w:rPr>
        <w:t>.</w:t>
      </w:r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proofErr w:type="spellStart"/>
      <w:r w:rsidR="00A44633">
        <w:rPr>
          <w:rFonts w:ascii="Times New Roman" w:eastAsia="Times New Roman" w:hAnsi="Times New Roman" w:cs="Times New Roman"/>
          <w:sz w:val="28"/>
          <w:szCs w:val="28"/>
        </w:rPr>
        <w:t>Становской</w:t>
      </w:r>
      <w:proofErr w:type="spellEnd"/>
      <w:r w:rsidR="00C47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A44633">
        <w:rPr>
          <w:rFonts w:ascii="Times New Roman" w:eastAsia="Times New Roman" w:hAnsi="Times New Roman" w:cs="Times New Roman"/>
          <w:sz w:val="28"/>
          <w:szCs w:val="28"/>
        </w:rPr>
        <w:t>Становской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A44633">
        <w:rPr>
          <w:rFonts w:ascii="Times New Roman" w:eastAsia="Times New Roman" w:hAnsi="Times New Roman" w:cs="Times New Roman"/>
          <w:sz w:val="28"/>
          <w:szCs w:val="28"/>
        </w:rPr>
        <w:t>Становской</w:t>
      </w:r>
      <w:proofErr w:type="spellEnd"/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Pr="00135443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35443" w:rsidRPr="00332626" w:rsidRDefault="0013544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A44633">
        <w:rPr>
          <w:rFonts w:ascii="Times New Roman" w:hAnsi="Times New Roman" w:cs="Times New Roman"/>
          <w:b/>
          <w:sz w:val="28"/>
          <w:szCs w:val="28"/>
        </w:rPr>
        <w:t>Становской</w:t>
      </w:r>
      <w:proofErr w:type="spellEnd"/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proofErr w:type="spellStart"/>
      <w:r w:rsidR="00A44633">
        <w:rPr>
          <w:color w:val="000000" w:themeColor="text1" w:themeShade="80"/>
          <w:sz w:val="28"/>
          <w:szCs w:val="28"/>
        </w:rPr>
        <w:t>Становской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</w:t>
      </w:r>
      <w:proofErr w:type="spellStart"/>
      <w:r w:rsidR="00A44633">
        <w:rPr>
          <w:color w:val="000000" w:themeColor="text1" w:themeShade="80"/>
          <w:sz w:val="28"/>
          <w:szCs w:val="28"/>
        </w:rPr>
        <w:t>Становского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903098">
        <w:rPr>
          <w:color w:val="000000" w:themeColor="text1" w:themeShade="80"/>
          <w:sz w:val="28"/>
          <w:szCs w:val="28"/>
        </w:rPr>
        <w:t>а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2A7A81">
        <w:rPr>
          <w:color w:val="000000" w:themeColor="text1" w:themeShade="80"/>
          <w:sz w:val="28"/>
          <w:szCs w:val="28"/>
        </w:rPr>
        <w:t>20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2A7A81">
        <w:rPr>
          <w:color w:val="000000" w:themeColor="text1" w:themeShade="80"/>
          <w:sz w:val="28"/>
          <w:szCs w:val="28"/>
        </w:rPr>
        <w:t>250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proofErr w:type="spellStart"/>
      <w:r w:rsidR="002A7A81">
        <w:rPr>
          <w:color w:val="000000" w:themeColor="text1" w:themeShade="80"/>
          <w:sz w:val="28"/>
          <w:szCs w:val="28"/>
        </w:rPr>
        <w:t>Становской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2A7A81">
        <w:rPr>
          <w:color w:val="000000" w:themeColor="text1" w:themeShade="80"/>
          <w:sz w:val="28"/>
          <w:szCs w:val="28"/>
        </w:rPr>
        <w:t>6 572,02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 сумме </w:t>
      </w:r>
      <w:r w:rsidR="002A7A81">
        <w:rPr>
          <w:color w:val="000000" w:themeColor="text1" w:themeShade="80"/>
          <w:sz w:val="28"/>
          <w:szCs w:val="28"/>
        </w:rPr>
        <w:t>6</w:t>
      </w:r>
      <w:proofErr w:type="gramEnd"/>
      <w:r w:rsidR="002A7A81">
        <w:rPr>
          <w:color w:val="000000" w:themeColor="text1" w:themeShade="80"/>
          <w:sz w:val="28"/>
          <w:szCs w:val="28"/>
        </w:rPr>
        <w:t> 572,02</w:t>
      </w:r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proofErr w:type="spellStart"/>
      <w:r w:rsidR="002A7A81">
        <w:rPr>
          <w:color w:val="000000" w:themeColor="text1" w:themeShade="80"/>
          <w:sz w:val="28"/>
          <w:szCs w:val="28"/>
        </w:rPr>
        <w:t>Становской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D30E94">
        <w:rPr>
          <w:color w:val="000000" w:themeColor="text1" w:themeShade="80"/>
          <w:sz w:val="28"/>
          <w:szCs w:val="28"/>
        </w:rPr>
        <w:t>7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 w:rsidR="00D30E94">
        <w:rPr>
          <w:sz w:val="28"/>
          <w:szCs w:val="28"/>
        </w:rPr>
        <w:t>890,52</w:t>
      </w:r>
      <w:r>
        <w:rPr>
          <w:sz w:val="28"/>
          <w:szCs w:val="28"/>
        </w:rPr>
        <w:t xml:space="preserve">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</w:t>
      </w:r>
      <w:r w:rsidR="00D30E94">
        <w:rPr>
          <w:color w:val="000000" w:themeColor="text1" w:themeShade="80"/>
          <w:sz w:val="28"/>
          <w:szCs w:val="28"/>
        </w:rPr>
        <w:t>6 572,02</w:t>
      </w:r>
      <w:r w:rsidR="005F47B1">
        <w:rPr>
          <w:color w:val="000000" w:themeColor="text1" w:themeShade="80"/>
          <w:sz w:val="28"/>
          <w:szCs w:val="28"/>
        </w:rPr>
        <w:t>,</w:t>
      </w:r>
      <w:r w:rsidR="0025610B">
        <w:rPr>
          <w:color w:val="000000" w:themeColor="text1" w:themeShade="80"/>
          <w:sz w:val="28"/>
          <w:szCs w:val="28"/>
        </w:rPr>
        <w:t>1</w:t>
      </w:r>
      <w:r w:rsidR="009F0488" w:rsidRPr="009F0488">
        <w:rPr>
          <w:color w:val="000000" w:themeColor="text1" w:themeShade="80"/>
          <w:sz w:val="28"/>
          <w:szCs w:val="28"/>
        </w:rPr>
        <w:t>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D30E94">
        <w:rPr>
          <w:color w:val="000000" w:themeColor="text1" w:themeShade="80"/>
          <w:sz w:val="28"/>
          <w:szCs w:val="28"/>
        </w:rPr>
        <w:t>7 462,54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5610B">
        <w:rPr>
          <w:color w:val="000000" w:themeColor="text1" w:themeShade="80"/>
          <w:sz w:val="28"/>
          <w:szCs w:val="28"/>
        </w:rPr>
        <w:t>тыс. рубле</w:t>
      </w:r>
      <w:r w:rsidR="005F47B1">
        <w:rPr>
          <w:color w:val="000000" w:themeColor="text1" w:themeShade="80"/>
          <w:sz w:val="28"/>
          <w:szCs w:val="28"/>
        </w:rPr>
        <w:t>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D30E94">
        <w:rPr>
          <w:color w:val="000000" w:themeColor="text1" w:themeShade="80"/>
          <w:sz w:val="28"/>
          <w:szCs w:val="28"/>
        </w:rPr>
        <w:t>5 731,33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D30E94">
        <w:rPr>
          <w:color w:val="000000" w:themeColor="text1" w:themeShade="80"/>
          <w:sz w:val="28"/>
          <w:szCs w:val="28"/>
        </w:rPr>
        <w:t>6 572,02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D30E94">
        <w:rPr>
          <w:color w:val="000000" w:themeColor="text1" w:themeShade="80"/>
          <w:sz w:val="28"/>
          <w:szCs w:val="28"/>
        </w:rPr>
        <w:t>12 303,36</w:t>
      </w:r>
      <w:r w:rsidR="009F0488">
        <w:rPr>
          <w:color w:val="000000" w:themeColor="text1" w:themeShade="80"/>
          <w:sz w:val="28"/>
          <w:szCs w:val="28"/>
        </w:rPr>
        <w:t xml:space="preserve">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7 462,54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7 664,14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- 201,60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2 866,57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- 333,11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4 797,57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131,51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11 881,19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D30E94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422,17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EE72E6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- 4 840,82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EE72E6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- 4 217,04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49B9" w:rsidRDefault="00E049B9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</w:p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proofErr w:type="spellStart"/>
      <w:r w:rsidR="00FA63F0">
        <w:rPr>
          <w:color w:val="000000" w:themeColor="text1" w:themeShade="80"/>
          <w:sz w:val="28"/>
          <w:szCs w:val="28"/>
        </w:rPr>
        <w:t>Становской</w:t>
      </w:r>
      <w:proofErr w:type="spellEnd"/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5F4AE5">
        <w:rPr>
          <w:color w:val="000000" w:themeColor="text1" w:themeShade="80"/>
          <w:sz w:val="28"/>
          <w:szCs w:val="28"/>
        </w:rPr>
        <w:t>7</w:t>
      </w:r>
      <w:r w:rsidR="00FA63F0">
        <w:rPr>
          <w:color w:val="000000" w:themeColor="text1" w:themeShade="80"/>
          <w:sz w:val="28"/>
          <w:szCs w:val="28"/>
        </w:rPr>
        <w:t> 664,14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FA63F0">
        <w:rPr>
          <w:color w:val="000000" w:themeColor="text1" w:themeShade="80"/>
          <w:sz w:val="28"/>
          <w:szCs w:val="28"/>
        </w:rPr>
        <w:t>102,70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FA63F0">
        <w:rPr>
          <w:color w:val="000000" w:themeColor="text1" w:themeShade="80"/>
          <w:sz w:val="28"/>
          <w:szCs w:val="28"/>
        </w:rPr>
        <w:t>7 462,54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</w:t>
      </w:r>
      <w:r w:rsidR="00FA63F0">
        <w:rPr>
          <w:color w:val="000000" w:themeColor="text1" w:themeShade="80"/>
          <w:sz w:val="28"/>
          <w:szCs w:val="28"/>
        </w:rPr>
        <w:t>11 881,19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FA63F0">
        <w:rPr>
          <w:color w:val="000000" w:themeColor="text1" w:themeShade="80"/>
          <w:sz w:val="28"/>
          <w:szCs w:val="28"/>
        </w:rPr>
        <w:t>96,57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FA63F0">
        <w:rPr>
          <w:color w:val="000000" w:themeColor="text1" w:themeShade="80"/>
          <w:sz w:val="28"/>
          <w:szCs w:val="28"/>
        </w:rPr>
        <w:t>12 303,36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A90E27" w:rsidRPr="00F44905">
        <w:rPr>
          <w:color w:val="000000" w:themeColor="text1" w:themeShade="80"/>
          <w:sz w:val="28"/>
          <w:szCs w:val="28"/>
        </w:rPr>
        <w:t>расход</w:t>
      </w:r>
      <w:r w:rsidR="00F44905" w:rsidRPr="00F44905">
        <w:rPr>
          <w:color w:val="000000" w:themeColor="text1" w:themeShade="80"/>
          <w:sz w:val="28"/>
          <w:szCs w:val="28"/>
        </w:rPr>
        <w:t xml:space="preserve">ов над доходами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F44905" w:rsidRPr="00F44905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FA63F0">
        <w:rPr>
          <w:color w:val="000000" w:themeColor="text1" w:themeShade="80"/>
          <w:sz w:val="28"/>
          <w:szCs w:val="28"/>
        </w:rPr>
        <w:t>4 217,04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FA63F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Становской</w:t>
      </w:r>
      <w:proofErr w:type="spellEnd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FA6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FA6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proofErr w:type="spellStart"/>
      <w:r w:rsidR="00FA6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103EF" w:rsidRDefault="007103EF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</w:p>
    <w:p w:rsidR="00E049B9" w:rsidRDefault="005508C7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61A70" w:rsidRPr="009E7980" w:rsidRDefault="00661A70" w:rsidP="00E049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муниципального образования «</w:t>
      </w:r>
      <w:proofErr w:type="spellStart"/>
      <w:r w:rsidR="00FA63F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 w:rsidR="005508C7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A63F0">
        <w:rPr>
          <w:rFonts w:ascii="Times New Roman" w:eastAsia="Times New Roman" w:hAnsi="Times New Roman" w:cs="Times New Roman"/>
          <w:sz w:val="28"/>
          <w:szCs w:val="28"/>
        </w:rPr>
        <w:t>Становской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</w:t>
      </w:r>
      <w:r w:rsidR="00FA63F0">
        <w:rPr>
          <w:rFonts w:ascii="Times New Roman" w:eastAsia="Calibri" w:hAnsi="Times New Roman" w:cs="Times New Roman"/>
          <w:spacing w:val="-3"/>
          <w:sz w:val="28"/>
          <w:szCs w:val="28"/>
        </w:rPr>
        <w:t>7 664,14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FA63F0">
        <w:rPr>
          <w:rFonts w:ascii="Times New Roman" w:eastAsia="Calibri" w:hAnsi="Times New Roman" w:cs="Times New Roman"/>
          <w:spacing w:val="-3"/>
          <w:sz w:val="28"/>
          <w:szCs w:val="28"/>
        </w:rPr>
        <w:t>102,70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FA63F0">
        <w:rPr>
          <w:rFonts w:ascii="Times New Roman" w:eastAsia="Calibri" w:hAnsi="Times New Roman" w:cs="Times New Roman"/>
          <w:spacing w:val="-3"/>
          <w:sz w:val="28"/>
          <w:szCs w:val="28"/>
        </w:rPr>
        <w:t>7 462,54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рублей), в том числе в разрезе источников доходов: </w:t>
      </w: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8A787F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7 462,54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8A787F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7 664,14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8A787F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8A787F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2 533,46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8A787F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2 866,57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8A787F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113,15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EC10F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2 311,46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EC10FC" w:rsidP="006E5F79">
            <w:pPr>
              <w:spacing w:after="0" w:line="100" w:lineRule="atLeast"/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2 494,91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EC10F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268,33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1 798,67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1 980,31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110,10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C10FC"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EC10FC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EC10F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EC10FC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EC10F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371,66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EC10FC" w:rsidRDefault="00EC10F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167,41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337,50</w:t>
            </w:r>
          </w:p>
        </w:tc>
      </w:tr>
      <w:tr w:rsidR="00A4786A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Pr="00DA32E3" w:rsidRDefault="00A4786A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A4786A">
              <w:rPr>
                <w:rFonts w:ascii="Times New Roman" w:eastAsia="Times New Roman" w:hAnsi="Times New Roman" w:cs="Times New Roman"/>
                <w:sz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000 1 13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86A" w:rsidRDefault="00A4786A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6A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095122">
              <w:rPr>
                <w:rFonts w:ascii="Times New Roman" w:hAnsi="Times New Roman" w:cs="Times New Roman"/>
              </w:rPr>
              <w:t>,22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6E5F79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6E5F79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000 1 17</w:t>
            </w:r>
            <w:r w:rsidR="002A7EDC"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 w:rsidR="00FF64A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4 929,08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4 797,57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744B54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97,33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744B54" w:rsidRDefault="00744B54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4 929,08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129D1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4 797,57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129D1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97,33</w:t>
            </w:r>
          </w:p>
        </w:tc>
      </w:tr>
      <w:tr w:rsidR="00744B54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FF64A8" w:rsidRDefault="00744B54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Дотации </w:t>
            </w:r>
            <w:r w:rsidRPr="00FF64A8">
              <w:rPr>
                <w:rFonts w:ascii="Times New Roman" w:eastAsia="Times New Roman" w:hAnsi="Times New Roman" w:cs="Times New Roman"/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B54" w:rsidRDefault="00744B54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1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1 557,00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B54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64A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E164AC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2 003,57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2 003,57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A4786A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1 270,53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A4786A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1 139,02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EC10F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89,65</w:t>
            </w:r>
          </w:p>
        </w:tc>
      </w:tr>
      <w:tr w:rsidR="00FF64A8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346" w:rsidRPr="001426B2" w:rsidRDefault="00AF2E6A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</w:t>
      </w:r>
      <w:r w:rsidRP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шес</w:t>
      </w:r>
      <w:r w:rsidR="00EB619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выполнен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</w:t>
      </w:r>
      <w:r w:rsidR="00A24FD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100% п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налогу на совокупный доход и по доходу от </w:t>
      </w:r>
      <w:r w:rsidR="00541D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прочих неналоговых доходов</w:t>
      </w:r>
      <w:r w:rsidR="003326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По остальным пяти кодам план по сбору перевыполнен.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A6669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Становской</w:t>
      </w:r>
      <w:proofErr w:type="spellEnd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BE1C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A6669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2 494,91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32,55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7 664,14</w:t>
      </w:r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), исполнение составляет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107,94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BE1CB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79,37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1 980,31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110,10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371,66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4,85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исполнение составило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167,41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доходов от оказания </w:t>
      </w:r>
      <w:r w:rsidR="00A6669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платных услуг и компенсации затрат государства</w:t>
      </w:r>
      <w:proofErr w:type="gramEnd"/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прочих неналоговых доходов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A66697">
        <w:rPr>
          <w:sz w:val="28"/>
          <w:szCs w:val="28"/>
        </w:rPr>
        <w:t>4 797,57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604B7F">
        <w:rPr>
          <w:color w:val="000000" w:themeColor="text1" w:themeShade="80"/>
          <w:sz w:val="28"/>
          <w:szCs w:val="28"/>
        </w:rPr>
        <w:t>. рублей</w:t>
      </w:r>
      <w:r w:rsidR="00E45461">
        <w:rPr>
          <w:color w:val="000000" w:themeColor="text1" w:themeShade="80"/>
          <w:sz w:val="28"/>
          <w:szCs w:val="28"/>
        </w:rPr>
        <w:t xml:space="preserve"> или </w:t>
      </w:r>
      <w:r w:rsidR="00A66697">
        <w:rPr>
          <w:color w:val="000000" w:themeColor="text1" w:themeShade="80"/>
          <w:sz w:val="28"/>
          <w:szCs w:val="28"/>
        </w:rPr>
        <w:t>97,33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3E1E17">
        <w:rPr>
          <w:color w:val="000000" w:themeColor="text1" w:themeShade="80"/>
          <w:sz w:val="28"/>
          <w:szCs w:val="28"/>
        </w:rPr>
        <w:t>62,60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proofErr w:type="spellStart"/>
      <w:r w:rsidR="003E1E17">
        <w:rPr>
          <w:color w:val="000000" w:themeColor="text1" w:themeShade="80"/>
          <w:sz w:val="28"/>
          <w:szCs w:val="28"/>
        </w:rPr>
        <w:t>Становской</w:t>
      </w:r>
      <w:proofErr w:type="spellEnd"/>
      <w:r w:rsidR="00604B7F">
        <w:rPr>
          <w:color w:val="000000" w:themeColor="text1" w:themeShade="80"/>
          <w:sz w:val="28"/>
          <w:szCs w:val="28"/>
        </w:rPr>
        <w:t xml:space="preserve"> </w:t>
      </w:r>
      <w:r w:rsidR="00E45461">
        <w:rPr>
          <w:color w:val="000000" w:themeColor="text1" w:themeShade="80"/>
          <w:sz w:val="28"/>
          <w:szCs w:val="28"/>
        </w:rPr>
        <w:t>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дотации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32,45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3E1E17">
        <w:rPr>
          <w:rFonts w:ascii="Times New Roman" w:hAnsi="Times New Roman" w:cs="Times New Roman"/>
          <w:sz w:val="28"/>
          <w:szCs w:val="28"/>
        </w:rPr>
        <w:t>1 557,00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суб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сид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ии – 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41,76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2 003,57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100% от утвержденных назначений),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субвенции – 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2,04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(97,99 тыс. рублей или 100% от утвержденных назначений),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604B7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23,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74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3E1E17">
        <w:rPr>
          <w:rFonts w:ascii="Times New Roman" w:hAnsi="Times New Roman" w:cs="Times New Roman"/>
          <w:sz w:val="28"/>
          <w:szCs w:val="28"/>
        </w:rPr>
        <w:t>1 139,02</w:t>
      </w:r>
      <w:r w:rsidR="00383EF2">
        <w:rPr>
          <w:rFonts w:ascii="Times New Roman" w:hAnsi="Times New Roman" w:cs="Times New Roman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руб. или </w:t>
      </w:r>
      <w:r w:rsidR="003E1E1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89,65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59398B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proofErr w:type="spellStart"/>
      <w:r w:rsidR="00293D0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</w:p>
    <w:p w:rsidR="00364FF9" w:rsidRDefault="00364FF9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267C66" w:rsidRDefault="00267C66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sz w:val="18"/>
                <w:szCs w:val="18"/>
                <w:lang w:val="en-US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70C2B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12 303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11 881,19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676792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3 541,97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3 376,16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28,42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2 324,93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19,57</w:t>
            </w:r>
          </w:p>
        </w:tc>
      </w:tr>
      <w:tr w:rsidR="00770C2B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0C2B" w:rsidRPr="003E7607" w:rsidRDefault="00770C2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C2B" w:rsidRPr="00676792" w:rsidRDefault="00770C2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000 0107</w:t>
            </w: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C2B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Pr="003E7607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676792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92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67679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5B3CF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5B3CF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5B3CF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267C66" w:rsidRDefault="005B3CFA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461D0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83BA5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6,25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770C2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4 606,04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4 573,72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20,65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3E7607" w:rsidRDefault="00A36B68" w:rsidP="00A36B68">
            <w:pPr>
              <w:spacing w:after="0" w:line="100" w:lineRule="atLeast"/>
              <w:ind w:left="49" w:right="-137"/>
              <w:rPr>
                <w:b/>
                <w:sz w:val="18"/>
                <w:szCs w:val="18"/>
              </w:rPr>
            </w:pPr>
            <w:r w:rsidRPr="003E7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676792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676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267C66" w:rsidRDefault="00DF4F49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5,30</w:t>
            </w:r>
          </w:p>
        </w:tc>
      </w:tr>
    </w:tbl>
    <w:p w:rsidR="00A27AF7" w:rsidRDefault="00A27AF7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B8095E" w:rsidRDefault="00B8095E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DF15F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11 881,19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96,57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«Национальная оборона»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422,17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165,81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Жилищно-коммунальное хозяйство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283B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32,32 тыс. рублей;</w:t>
      </w:r>
    </w:p>
    <w:p w:rsidR="00175411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</w:t>
      </w:r>
      <w:r w:rsidR="00F204E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экономика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131,48</w:t>
      </w:r>
      <w:r w:rsidR="0017411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рублей;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21,53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рублей;</w:t>
      </w:r>
    </w:p>
    <w:p w:rsidR="00DF15F4" w:rsidRDefault="00DF15F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Культура и кинематография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- 44,74 тыс. рублей;</w:t>
      </w:r>
    </w:p>
    <w:p w:rsidR="004F6812" w:rsidRPr="00BC39A0" w:rsidRDefault="00F204E7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DF15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26,28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рублей.</w:t>
      </w:r>
    </w:p>
    <w:p w:rsidR="00F204E7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DF15F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</w:t>
      </w:r>
      <w:r w:rsidR="00DF15F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ы: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Жилищно-коммунальное хозяйство»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4 573,72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99,30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38,50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74119" w:rsidRDefault="00174119" w:rsidP="001741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«Общегосударственные вопросы»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3 376,16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95,32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28,42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F204E7" w:rsidRDefault="00F204E7" w:rsidP="00F204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«Культура и кинематография»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2 453,03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98,21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20,65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EF57DB" w:rsidRPr="000D4DB5" w:rsidRDefault="00835698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экономика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742,10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84,95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6,25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Социальная политика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629,72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95,99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5,30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«Национальная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97,99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100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0,82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</w:t>
      </w:r>
      <w:r w:rsidR="00BA7488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» -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8,47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28,23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</w:t>
      </w:r>
      <w:r w:rsidR="00BA74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0,07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825991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03031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на выплату заработной платы с начислениями работникам казенных учреждений направлено </w:t>
      </w:r>
      <w:r w:rsidR="000F3B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3 544,20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0F3B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29,83</w:t>
      </w:r>
      <w:r w:rsidR="00E97E50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бюджета. </w:t>
      </w:r>
    </w:p>
    <w:p w:rsidR="009C7796" w:rsidRPr="009845DF" w:rsidRDefault="00825991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К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ассовые расходы по содержанию органов местного самоуправления составили </w:t>
      </w:r>
      <w:r w:rsidR="000F3B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1 829,01</w:t>
      </w:r>
      <w:r w:rsidR="009C77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C7796"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что соответствует доведенному нормативу</w:t>
      </w:r>
      <w:r w:rsidR="009C779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 w:rsidR="009C7796"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9C7796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ab/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 w:rsidR="00554C94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623,77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средства бюджета сельсовета. Остатков на лицевых счетах бюджетополучателей </w:t>
      </w:r>
      <w:r w:rsidRPr="004A3D6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F129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3064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 бюджета в размере </w:t>
      </w:r>
      <w:r w:rsidR="00F129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4 217,04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</w:t>
      </w:r>
      <w:r w:rsidR="00F129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4 840,82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proofErr w:type="spellStart"/>
      <w:r w:rsidR="00F129D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Становского</w:t>
      </w:r>
      <w:proofErr w:type="spellEnd"/>
      <w:r w:rsidR="005149B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 w:rsidR="00F129D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F129D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  <w:r w:rsidR="00F129D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0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proofErr w:type="spellStart"/>
      <w:r w:rsidR="00F129D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Становской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 плановый период</w:t>
      </w:r>
      <w:proofErr w:type="gram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дополнениями).  </w:t>
      </w:r>
    </w:p>
    <w:p w:rsidR="009C7796" w:rsidRPr="009427CF" w:rsidRDefault="009C7796" w:rsidP="009C77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</w:pP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Источником финансирования дефицита </w:t>
      </w:r>
      <w:r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>бюджета является</w:t>
      </w: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 изменение остатков средств на счетах по учету средств бюджета.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F129D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 w:rsidRPr="008265A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8 739,52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129D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1.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F129D1">
              <w:rPr>
                <w:rFonts w:ascii="Times New Roman" w:eastAsia="SimSun" w:hAnsi="Times New Roman" w:cs="Mangal"/>
                <w:lang w:eastAsia="hi-IN" w:bidi="hi-IN"/>
              </w:rPr>
              <w:t>Становской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муниципальной службы»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129D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1 284,71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129D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1 159,74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F129D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90,27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F129D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2.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F129D1">
              <w:rPr>
                <w:rFonts w:ascii="Times New Roman" w:eastAsia="SimSun" w:hAnsi="Times New Roman" w:cs="Mangal"/>
                <w:lang w:eastAsia="hi-IN" w:bidi="hi-IN"/>
              </w:rPr>
              <w:t>Становской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Защита населения и терр</w:t>
            </w:r>
            <w:r w:rsidR="00F730D0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тории от чрезвычайных ситуаций, обеспечение пожарной безопасности и безопасности людей на водных объектах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05258E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5F15" w:rsidRPr="00F730D0" w:rsidRDefault="004F2931" w:rsidP="00F25F15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8,47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28,23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4F293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3.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4F2931">
              <w:rPr>
                <w:rFonts w:ascii="Times New Roman" w:eastAsia="SimSun" w:hAnsi="Times New Roman" w:cs="Mangal"/>
                <w:lang w:eastAsia="hi-IN" w:bidi="hi-IN"/>
              </w:rPr>
              <w:t>Становской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</w:t>
            </w:r>
            <w:r w:rsidR="004F2931">
              <w:rPr>
                <w:rFonts w:ascii="Times New Roman" w:eastAsia="SimSun" w:hAnsi="Times New Roman" w:cs="Mangal"/>
                <w:b/>
                <w:lang w:eastAsia="hi-IN" w:bidi="hi-IN"/>
              </w:rPr>
              <w:t>Благоустройство территорий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 </w:t>
            </w:r>
            <w:r w:rsidR="004F2931">
              <w:rPr>
                <w:rFonts w:ascii="Times New Roman" w:eastAsia="SimSun" w:hAnsi="Times New Roman" w:cs="Mangal"/>
                <w:b/>
                <w:lang w:eastAsia="hi-IN" w:bidi="hi-IN"/>
              </w:rPr>
              <w:t>сельских поселений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931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8C2300" w:rsidRPr="00F730D0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4 271,04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931" w:rsidRDefault="004F2931" w:rsidP="004F2931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4F2931" w:rsidRPr="00F730D0" w:rsidRDefault="001B29E5" w:rsidP="004F2931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4 238,7</w:t>
            </w:r>
            <w:r w:rsidR="004F293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F15" w:rsidRDefault="00F25F1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4F2931" w:rsidRPr="00F730D0" w:rsidRDefault="004F293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99,24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4F293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4.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Муниципальная программа муниципального образования «</w:t>
            </w:r>
            <w:proofErr w:type="spellStart"/>
            <w:r w:rsidR="004F2931">
              <w:rPr>
                <w:rFonts w:ascii="Times New Roman" w:eastAsia="SimSun" w:hAnsi="Times New Roman" w:cs="Mangal"/>
                <w:lang w:eastAsia="hi-IN" w:bidi="hi-IN"/>
              </w:rPr>
              <w:t>Становской</w:t>
            </w:r>
            <w:proofErr w:type="spellEnd"/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сельсовет» Тимского района Курской области </w:t>
            </w: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«Развитие культуры</w:t>
            </w:r>
            <w:r w:rsidR="00F25F1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»</w:t>
            </w:r>
            <w:r w:rsidR="00A93BB5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2 497,77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2 453,03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98,21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4F293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5.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 Муниципальная программа муниципального образования «</w:t>
            </w:r>
            <w:proofErr w:type="spellStart"/>
            <w:r w:rsidR="004F2931">
              <w:rPr>
                <w:rFonts w:ascii="Times New Roman" w:eastAsia="SimSun" w:hAnsi="Times New Roman" w:cs="Mangal"/>
                <w:lang w:eastAsia="hi-IN" w:bidi="hi-IN"/>
              </w:rPr>
              <w:t>Становской</w:t>
            </w:r>
            <w:proofErr w:type="spellEnd"/>
            <w:r w:rsidR="00D45281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сельсовет</w:t>
            </w:r>
            <w:r w:rsidRPr="00F730D0">
              <w:rPr>
                <w:rFonts w:ascii="Times New Roman" w:eastAsia="SimSun" w:hAnsi="Times New Roman" w:cs="Mangal"/>
                <w:lang w:eastAsia="hi-IN" w:bidi="hi-IN"/>
              </w:rPr>
              <w:t>» Тимского района Курской области</w:t>
            </w:r>
            <w:r w:rsidR="009603BA" w:rsidRPr="00F730D0">
              <w:rPr>
                <w:rFonts w:ascii="Times New Roman" w:eastAsia="SimSun" w:hAnsi="Times New Roman" w:cs="Mangal"/>
                <w:lang w:eastAsia="hi-IN" w:bidi="hi-IN"/>
              </w:rPr>
              <w:t xml:space="preserve"> 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«Социальная поддержка граждан»</w:t>
            </w:r>
            <w:r w:rsidR="00D73E53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 xml:space="preserve"> 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656,00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629,72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95,99</w:t>
            </w:r>
          </w:p>
        </w:tc>
      </w:tr>
      <w:tr w:rsidR="008C2300" w:rsidRPr="00F730D0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lang w:eastAsia="hi-IN" w:bidi="hi-IN"/>
              </w:rPr>
            </w:pPr>
            <w:r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Итого</w:t>
            </w:r>
            <w:r w:rsidR="009603BA" w:rsidRPr="00F730D0">
              <w:rPr>
                <w:rFonts w:ascii="Times New Roman" w:eastAsia="SimSun" w:hAnsi="Times New Roman" w:cs="Mangal"/>
                <w:b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8 739,52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F730D0" w:rsidRDefault="001B29E5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8 489,7</w:t>
            </w:r>
            <w:r w:rsidR="004F2931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F730D0" w:rsidRDefault="004F2931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97,14</w:t>
            </w:r>
          </w:p>
        </w:tc>
      </w:tr>
    </w:tbl>
    <w:p w:rsidR="009858B8" w:rsidRDefault="009858B8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24391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8 489,7</w:t>
      </w:r>
      <w:r w:rsidR="004F2931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1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4F29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97,14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утвержденных к финансированию муниципальных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4F29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8 739,52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C54C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71,45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C54C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11 881,19</w:t>
      </w:r>
      <w:r w:rsidR="0097423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25170A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A3D6E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Становской</w:t>
      </w:r>
      <w:proofErr w:type="spellEnd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</w:t>
      </w:r>
      <w:r w:rsidR="00B04873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265A8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«Благоустройство территорий</w:t>
      </w:r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8265A8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сельских поселений</w:t>
      </w:r>
      <w:r w:rsidR="00B04873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- </w:t>
      </w:r>
      <w:r w:rsidR="0024391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4 238,7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5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рублей, или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49,93</w:t>
      </w:r>
      <w:r w:rsidR="00B04873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% от общего объема расходов</w:t>
      </w:r>
      <w:r w:rsidR="0025170A" w:rsidRPr="0025170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,</w:t>
      </w:r>
      <w:r w:rsid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2517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произведенных расходов в рамках муниципальных программ</w:t>
      </w:r>
      <w:r w:rsidR="0025170A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  <w:r w:rsidR="00B04873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012CFB" w:rsidRDefault="0025170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На муниципальную программу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муниципального образования «</w:t>
      </w:r>
      <w:proofErr w:type="spellStart"/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Становской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«Развитие </w:t>
      </w:r>
      <w:r w:rsidR="008265A8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культуры</w:t>
      </w:r>
      <w:r w:rsidR="00012CFB" w:rsidRPr="0025170A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израсходовано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265A8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2 453,03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243912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28,89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265A8" w:rsidRPr="00F857E6" w:rsidRDefault="008265A8" w:rsidP="0082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Становской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Развитие муниципальной службы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» </w:t>
      </w:r>
      <w:r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24391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1 159,74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13,66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Становской</w:t>
      </w:r>
      <w:proofErr w:type="spellEnd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Социальная поддержка граждан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8265A8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629,72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 w:rsidR="00052DD7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7,42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494B64" w:rsidRPr="00792542" w:rsidRDefault="00052DD7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униципальной программы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Становской</w:t>
      </w:r>
      <w:proofErr w:type="spellEnd"/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</w:t>
      </w:r>
      <w:r w:rsidR="004A3D6E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94B64"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»</w:t>
      </w:r>
      <w:r w:rsid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494B64"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8,47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рублей или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0,1</w:t>
      </w:r>
      <w:r w:rsidR="004A3D6E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0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% от </w:t>
      </w:r>
      <w:r w:rsidR="00494B64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 w:rsidR="00494B64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 w:rsid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1906A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Становской</w:t>
      </w:r>
      <w:proofErr w:type="spellEnd"/>
      <w:r w:rsidR="00052DD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сельсовет» </w:t>
      </w:r>
      <w:r w:rsidR="008A1AD2" w:rsidRPr="00BF734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отсутствует.</w:t>
      </w:r>
    </w:p>
    <w:p w:rsidR="00F84F2C" w:rsidRPr="005335D9" w:rsidRDefault="00F84F2C" w:rsidP="008C4894">
      <w:pPr>
        <w:pStyle w:val="aa"/>
        <w:ind w:firstLine="567"/>
      </w:pPr>
      <w:r w:rsidRPr="005335D9">
        <w:t>К</w:t>
      </w:r>
      <w:r w:rsidR="008C4894" w:rsidRPr="005335D9">
        <w:t>редиторская задолженность</w:t>
      </w:r>
      <w:r w:rsidR="007E6649" w:rsidRPr="005335D9">
        <w:t xml:space="preserve"> по состоянию</w:t>
      </w:r>
      <w:r w:rsidRPr="005335D9">
        <w:t>:</w:t>
      </w:r>
    </w:p>
    <w:p w:rsidR="00F84F2C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 xml:space="preserve">01.01.2022г. </w:t>
      </w:r>
      <w:r w:rsidR="008C4894" w:rsidRPr="005335D9">
        <w:t xml:space="preserve"> составляла </w:t>
      </w:r>
      <w:r w:rsidR="00B46C73">
        <w:t>766,88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20500 – </w:t>
      </w:r>
      <w:r w:rsidR="00B46C73">
        <w:rPr>
          <w:spacing w:val="-1"/>
        </w:rPr>
        <w:t>750,53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 xml:space="preserve">; по счету 30200 — </w:t>
      </w:r>
      <w:r w:rsidR="00B46C73">
        <w:rPr>
          <w:spacing w:val="-1"/>
        </w:rPr>
        <w:t>16,35</w:t>
      </w:r>
      <w:r w:rsidR="00516F54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F84F2C" w:rsidRPr="005335D9">
        <w:t>;</w:t>
      </w:r>
    </w:p>
    <w:p w:rsidR="008C4894" w:rsidRPr="005335D9" w:rsidRDefault="007E6649" w:rsidP="008C4894">
      <w:pPr>
        <w:pStyle w:val="aa"/>
        <w:ind w:firstLine="567"/>
      </w:pPr>
      <w:r w:rsidRPr="005335D9">
        <w:t xml:space="preserve">- на </w:t>
      </w:r>
      <w:r w:rsidR="00F84F2C" w:rsidRPr="005335D9">
        <w:t>31.12.2022</w:t>
      </w:r>
      <w:r w:rsidR="008C4894" w:rsidRPr="005335D9">
        <w:t xml:space="preserve"> года</w:t>
      </w:r>
      <w:r w:rsidR="007D593E" w:rsidRPr="005335D9">
        <w:t xml:space="preserve"> </w:t>
      </w:r>
      <w:r w:rsidR="008C4894" w:rsidRPr="005335D9">
        <w:t xml:space="preserve"> – </w:t>
      </w:r>
      <w:r w:rsidR="00B46C73">
        <w:t>965,28</w:t>
      </w:r>
      <w:r w:rsidR="008C4894" w:rsidRPr="005335D9">
        <w:t xml:space="preserve"> тыс. рублей </w:t>
      </w:r>
      <w:r w:rsidR="008C4894" w:rsidRPr="005335D9">
        <w:rPr>
          <w:spacing w:val="-1"/>
        </w:rPr>
        <w:t xml:space="preserve">(по счету </w:t>
      </w:r>
      <w:r w:rsidR="007D593E" w:rsidRPr="005335D9">
        <w:rPr>
          <w:spacing w:val="-1"/>
        </w:rPr>
        <w:t>20500</w:t>
      </w:r>
      <w:r w:rsidR="00F84F2C" w:rsidRPr="005335D9">
        <w:rPr>
          <w:spacing w:val="-1"/>
        </w:rPr>
        <w:t xml:space="preserve"> </w:t>
      </w:r>
      <w:r w:rsidR="008C4894" w:rsidRPr="005335D9">
        <w:rPr>
          <w:spacing w:val="-1"/>
        </w:rPr>
        <w:t xml:space="preserve"> – </w:t>
      </w:r>
      <w:r w:rsidR="00B46C73">
        <w:rPr>
          <w:spacing w:val="-1"/>
        </w:rPr>
        <w:t>909,25</w:t>
      </w:r>
      <w:r w:rsidR="008C4894" w:rsidRPr="005335D9">
        <w:rPr>
          <w:spacing w:val="-1"/>
        </w:rPr>
        <w:t xml:space="preserve"> тыс. руб</w:t>
      </w:r>
      <w:r w:rsidR="00F84F2C" w:rsidRPr="005335D9">
        <w:rPr>
          <w:spacing w:val="-1"/>
        </w:rPr>
        <w:t>лей</w:t>
      </w:r>
      <w:r w:rsidR="008C4894" w:rsidRPr="005335D9">
        <w:rPr>
          <w:spacing w:val="-1"/>
        </w:rPr>
        <w:t xml:space="preserve">; по счету </w:t>
      </w:r>
      <w:r w:rsidR="007D593E" w:rsidRPr="005335D9">
        <w:rPr>
          <w:spacing w:val="-1"/>
        </w:rPr>
        <w:t>30200</w:t>
      </w:r>
      <w:r w:rsidR="008C4894" w:rsidRPr="005335D9">
        <w:rPr>
          <w:spacing w:val="-1"/>
        </w:rPr>
        <w:t xml:space="preserve"> — </w:t>
      </w:r>
      <w:r w:rsidR="00B46C73">
        <w:rPr>
          <w:spacing w:val="-1"/>
        </w:rPr>
        <w:t>56,03</w:t>
      </w:r>
      <w:r w:rsidR="00F84F2C" w:rsidRPr="005335D9">
        <w:rPr>
          <w:spacing w:val="-1"/>
        </w:rPr>
        <w:t xml:space="preserve"> тыс. рублей</w:t>
      </w:r>
      <w:r w:rsidR="008C4894" w:rsidRPr="005335D9">
        <w:rPr>
          <w:spacing w:val="-1"/>
        </w:rPr>
        <w:t>)</w:t>
      </w:r>
      <w:r w:rsidR="008C4894" w:rsidRPr="005335D9">
        <w:t>.</w:t>
      </w:r>
    </w:p>
    <w:p w:rsidR="007E6649" w:rsidRPr="005335D9" w:rsidRDefault="007E6649" w:rsidP="008C4894">
      <w:pPr>
        <w:pStyle w:val="aa"/>
        <w:ind w:firstLine="567"/>
      </w:pPr>
      <w:r w:rsidRPr="005335D9">
        <w:t>Д</w:t>
      </w:r>
      <w:r w:rsidR="008C4894" w:rsidRPr="005335D9">
        <w:t>ебиторская задолженность</w:t>
      </w:r>
      <w:r w:rsidRPr="005335D9">
        <w:t xml:space="preserve"> по состоянию:</w:t>
      </w:r>
    </w:p>
    <w:p w:rsidR="007E6649" w:rsidRPr="005335D9" w:rsidRDefault="007E6649" w:rsidP="008C4894">
      <w:pPr>
        <w:pStyle w:val="aa"/>
        <w:ind w:firstLine="567"/>
      </w:pPr>
      <w:r w:rsidRPr="005335D9">
        <w:t>- на 01.01.2022г.</w:t>
      </w:r>
      <w:r w:rsidR="008C4894" w:rsidRPr="005335D9">
        <w:t xml:space="preserve"> составляла </w:t>
      </w:r>
      <w:r w:rsidR="00402084">
        <w:t>7 860,78</w:t>
      </w:r>
      <w:r w:rsidRPr="005335D9">
        <w:t xml:space="preserve"> тыс. рублей;</w:t>
      </w:r>
    </w:p>
    <w:p w:rsidR="008C4894" w:rsidRPr="00FB6102" w:rsidRDefault="007E6649" w:rsidP="008C4894">
      <w:pPr>
        <w:pStyle w:val="aa"/>
        <w:ind w:firstLine="567"/>
      </w:pPr>
      <w:r w:rsidRPr="005335D9">
        <w:t>- на 31.12.2022</w:t>
      </w:r>
      <w:r w:rsidR="008C4894" w:rsidRPr="005335D9">
        <w:t>г</w:t>
      </w:r>
      <w:r w:rsidRPr="005335D9">
        <w:t xml:space="preserve">. </w:t>
      </w:r>
      <w:r w:rsidR="008C4894" w:rsidRPr="005335D9">
        <w:t xml:space="preserve">дебиторская задолженность по доходам составила </w:t>
      </w:r>
      <w:r w:rsidR="00402084">
        <w:t>7 263,85</w:t>
      </w:r>
      <w:r w:rsidR="008C4894" w:rsidRPr="005335D9">
        <w:t xml:space="preserve"> тыс. рублей.</w:t>
      </w:r>
      <w:r w:rsidR="008C4894" w:rsidRPr="00FB6102">
        <w:t xml:space="preserve">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2 020,81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303,63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«Непроизводственные активы» -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425,18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«Материальные запасы»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- 104,60 тыс. рублей, 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«Права пользования активами» -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24,60</w:t>
      </w:r>
      <w:r w:rsidR="003302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«Вложения в нефинансовые активы» - 552,30 тыс. рублей, 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FF7F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594,20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5B6F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16,31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8 534,99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743,16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125,62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«Материальные запасы» - 98,70 тыс. рублей, 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«Права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пользования активами» -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24,60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Нефинансовые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активы</w:t>
      </w:r>
      <w:r w:rsidR="00BF3D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имущества казны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-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7 527,09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B204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15,82</w:t>
      </w:r>
      <w:r w:rsidR="00BF3D3A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12 701,59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4 840,82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7 860,78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7 887,62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(«Средства на счетах бюджета в органе Федерального казначейства» -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623,77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D1E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7 263,85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7 163,57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16,35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«Кредиторская задолженность по доходам» -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750,53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6 396,69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6 844,78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56,04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</w:t>
      </w:r>
      <w:r w:rsidR="00C862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4E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Кредиторская задолженность по доходам» -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909,25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CF23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5 879,49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proofErr w:type="spellStart"/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Становской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proofErr w:type="spellStart"/>
      <w:r w:rsidR="00C84F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Становской</w:t>
      </w:r>
      <w:proofErr w:type="spellEnd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</w:t>
      </w:r>
      <w:r w:rsidR="00C84F13">
        <w:rPr>
          <w:rFonts w:ascii="Times New Roman" w:eastAsia="Calibri" w:hAnsi="Times New Roman" w:cs="Times New Roman"/>
          <w:spacing w:val="-3"/>
          <w:sz w:val="28"/>
          <w:szCs w:val="28"/>
        </w:rPr>
        <w:t>7 664,14</w:t>
      </w:r>
      <w:r w:rsidR="00A90B7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тыс. рублей или </w:t>
      </w:r>
      <w:r w:rsidR="00C84F13">
        <w:rPr>
          <w:rFonts w:ascii="Times New Roman" w:eastAsia="Calibri" w:hAnsi="Times New Roman" w:cs="Times New Roman"/>
          <w:spacing w:val="-3"/>
          <w:sz w:val="28"/>
          <w:szCs w:val="28"/>
        </w:rPr>
        <w:t>102,70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>% от уровня, предусмотренного решением о бюджете (</w:t>
      </w:r>
      <w:r w:rsidR="00C84F13">
        <w:rPr>
          <w:rFonts w:ascii="Times New Roman" w:eastAsia="Calibri" w:hAnsi="Times New Roman" w:cs="Times New Roman"/>
          <w:spacing w:val="-3"/>
          <w:sz w:val="28"/>
          <w:szCs w:val="28"/>
        </w:rPr>
        <w:t>7 462,54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proofErr w:type="spellStart"/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Становской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11 881,19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96,57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12 303,36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90B77" w:rsidRDefault="006F7ABB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B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B77" w:rsidRPr="00A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содержание органов местного самоуправления не превышен. </w:t>
      </w:r>
    </w:p>
    <w:p w:rsidR="0073332E" w:rsidRDefault="0073332E" w:rsidP="00A90B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4 217,04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C84F13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7 664,14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11 881,19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4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4F13">
        <w:rPr>
          <w:rFonts w:ascii="Times New Roman" w:hAnsi="Times New Roman" w:cs="Times New Roman"/>
          <w:sz w:val="28"/>
          <w:szCs w:val="28"/>
        </w:rPr>
        <w:t>Становской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proofErr w:type="spellStart"/>
      <w:r w:rsidR="00C84F13">
        <w:rPr>
          <w:rFonts w:ascii="Times New Roman" w:hAnsi="Times New Roman" w:cs="Times New Roman"/>
          <w:sz w:val="28"/>
          <w:szCs w:val="28"/>
        </w:rPr>
        <w:t>Становского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4F13">
        <w:rPr>
          <w:rFonts w:ascii="Times New Roman" w:hAnsi="Times New Roman" w:cs="Times New Roman"/>
          <w:sz w:val="28"/>
          <w:szCs w:val="28"/>
        </w:rPr>
        <w:t>Становской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1A6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031C"/>
    <w:rsid w:val="00031DE8"/>
    <w:rsid w:val="000358A1"/>
    <w:rsid w:val="000378E4"/>
    <w:rsid w:val="00040A88"/>
    <w:rsid w:val="00042241"/>
    <w:rsid w:val="0004435E"/>
    <w:rsid w:val="00045EAC"/>
    <w:rsid w:val="0005258E"/>
    <w:rsid w:val="00052DD7"/>
    <w:rsid w:val="00057645"/>
    <w:rsid w:val="000613E1"/>
    <w:rsid w:val="00061619"/>
    <w:rsid w:val="000646ED"/>
    <w:rsid w:val="00065E66"/>
    <w:rsid w:val="00067013"/>
    <w:rsid w:val="00071FFD"/>
    <w:rsid w:val="00075FE6"/>
    <w:rsid w:val="00082FED"/>
    <w:rsid w:val="00084B23"/>
    <w:rsid w:val="000925BA"/>
    <w:rsid w:val="00095122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0C7A"/>
    <w:rsid w:val="000E24DB"/>
    <w:rsid w:val="000F3369"/>
    <w:rsid w:val="000F3B25"/>
    <w:rsid w:val="00102B8F"/>
    <w:rsid w:val="00102FB9"/>
    <w:rsid w:val="00103113"/>
    <w:rsid w:val="00106002"/>
    <w:rsid w:val="001125EF"/>
    <w:rsid w:val="00112D35"/>
    <w:rsid w:val="00120E38"/>
    <w:rsid w:val="00121BE9"/>
    <w:rsid w:val="001238FE"/>
    <w:rsid w:val="0012622E"/>
    <w:rsid w:val="0012707E"/>
    <w:rsid w:val="00135443"/>
    <w:rsid w:val="001374B8"/>
    <w:rsid w:val="00140137"/>
    <w:rsid w:val="00140D20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4119"/>
    <w:rsid w:val="00175411"/>
    <w:rsid w:val="00176174"/>
    <w:rsid w:val="001777FC"/>
    <w:rsid w:val="00177A7E"/>
    <w:rsid w:val="00180F88"/>
    <w:rsid w:val="00183322"/>
    <w:rsid w:val="00184568"/>
    <w:rsid w:val="0018611C"/>
    <w:rsid w:val="001906A3"/>
    <w:rsid w:val="00192D03"/>
    <w:rsid w:val="001962ED"/>
    <w:rsid w:val="001A1E91"/>
    <w:rsid w:val="001A52B5"/>
    <w:rsid w:val="001A58A8"/>
    <w:rsid w:val="001B079B"/>
    <w:rsid w:val="001B151A"/>
    <w:rsid w:val="001B29E5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912"/>
    <w:rsid w:val="00243ACE"/>
    <w:rsid w:val="0024542A"/>
    <w:rsid w:val="0025170A"/>
    <w:rsid w:val="0025610B"/>
    <w:rsid w:val="00263DE4"/>
    <w:rsid w:val="00267C66"/>
    <w:rsid w:val="00276318"/>
    <w:rsid w:val="002768D5"/>
    <w:rsid w:val="00283BA5"/>
    <w:rsid w:val="00284BA7"/>
    <w:rsid w:val="00287E03"/>
    <w:rsid w:val="002935A0"/>
    <w:rsid w:val="00293D07"/>
    <w:rsid w:val="002979B8"/>
    <w:rsid w:val="002A0480"/>
    <w:rsid w:val="002A15B2"/>
    <w:rsid w:val="002A3847"/>
    <w:rsid w:val="002A5FBE"/>
    <w:rsid w:val="002A7A81"/>
    <w:rsid w:val="002A7EDC"/>
    <w:rsid w:val="002B06D4"/>
    <w:rsid w:val="002B0B64"/>
    <w:rsid w:val="002B16B0"/>
    <w:rsid w:val="002B784D"/>
    <w:rsid w:val="002C0AC2"/>
    <w:rsid w:val="002C41D9"/>
    <w:rsid w:val="002D15E5"/>
    <w:rsid w:val="002D2B0D"/>
    <w:rsid w:val="002D4FF0"/>
    <w:rsid w:val="002E3D2C"/>
    <w:rsid w:val="002F024E"/>
    <w:rsid w:val="002F08B3"/>
    <w:rsid w:val="003009FC"/>
    <w:rsid w:val="0030642F"/>
    <w:rsid w:val="00306628"/>
    <w:rsid w:val="00310031"/>
    <w:rsid w:val="0032163A"/>
    <w:rsid w:val="00323C88"/>
    <w:rsid w:val="0033025E"/>
    <w:rsid w:val="00332052"/>
    <w:rsid w:val="00332626"/>
    <w:rsid w:val="00343EC8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5973"/>
    <w:rsid w:val="00396FD7"/>
    <w:rsid w:val="0039784B"/>
    <w:rsid w:val="003A08F8"/>
    <w:rsid w:val="003A7D59"/>
    <w:rsid w:val="003B4B59"/>
    <w:rsid w:val="003C09E9"/>
    <w:rsid w:val="003C5C1B"/>
    <w:rsid w:val="003D28F6"/>
    <w:rsid w:val="003D42D8"/>
    <w:rsid w:val="003E1E17"/>
    <w:rsid w:val="003E5E67"/>
    <w:rsid w:val="003E7607"/>
    <w:rsid w:val="003E7B5D"/>
    <w:rsid w:val="003F0571"/>
    <w:rsid w:val="003F24C9"/>
    <w:rsid w:val="003F5A14"/>
    <w:rsid w:val="003F6ECC"/>
    <w:rsid w:val="003F7D93"/>
    <w:rsid w:val="00402084"/>
    <w:rsid w:val="00402A73"/>
    <w:rsid w:val="004112AE"/>
    <w:rsid w:val="004147C0"/>
    <w:rsid w:val="004160A5"/>
    <w:rsid w:val="0042397C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3D6E"/>
    <w:rsid w:val="004A56A6"/>
    <w:rsid w:val="004A6B2B"/>
    <w:rsid w:val="004B0A7E"/>
    <w:rsid w:val="004B2697"/>
    <w:rsid w:val="004B7303"/>
    <w:rsid w:val="004B7A08"/>
    <w:rsid w:val="004C0231"/>
    <w:rsid w:val="004C4FAE"/>
    <w:rsid w:val="004C5FEA"/>
    <w:rsid w:val="004C6F7E"/>
    <w:rsid w:val="004E111F"/>
    <w:rsid w:val="004E3478"/>
    <w:rsid w:val="004E56F5"/>
    <w:rsid w:val="004E68D5"/>
    <w:rsid w:val="004F1B49"/>
    <w:rsid w:val="004F2931"/>
    <w:rsid w:val="004F4FD0"/>
    <w:rsid w:val="004F6812"/>
    <w:rsid w:val="00501F8A"/>
    <w:rsid w:val="00505C90"/>
    <w:rsid w:val="005077B8"/>
    <w:rsid w:val="00513A67"/>
    <w:rsid w:val="00513D23"/>
    <w:rsid w:val="005149B7"/>
    <w:rsid w:val="00514A61"/>
    <w:rsid w:val="005160B7"/>
    <w:rsid w:val="00516F54"/>
    <w:rsid w:val="00517027"/>
    <w:rsid w:val="00526247"/>
    <w:rsid w:val="005273FA"/>
    <w:rsid w:val="005335D9"/>
    <w:rsid w:val="005366A6"/>
    <w:rsid w:val="00541D7F"/>
    <w:rsid w:val="0055029A"/>
    <w:rsid w:val="005508C7"/>
    <w:rsid w:val="00550B63"/>
    <w:rsid w:val="00550CEE"/>
    <w:rsid w:val="00554C94"/>
    <w:rsid w:val="0056019F"/>
    <w:rsid w:val="0056190A"/>
    <w:rsid w:val="00563677"/>
    <w:rsid w:val="00575A25"/>
    <w:rsid w:val="00581EBA"/>
    <w:rsid w:val="00584103"/>
    <w:rsid w:val="00587D60"/>
    <w:rsid w:val="00592C5B"/>
    <w:rsid w:val="0059398B"/>
    <w:rsid w:val="005A18D6"/>
    <w:rsid w:val="005A3239"/>
    <w:rsid w:val="005A74F7"/>
    <w:rsid w:val="005B001B"/>
    <w:rsid w:val="005B0EB9"/>
    <w:rsid w:val="005B21EB"/>
    <w:rsid w:val="005B3CFA"/>
    <w:rsid w:val="005B5039"/>
    <w:rsid w:val="005B6FE4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4AE5"/>
    <w:rsid w:val="005F74C3"/>
    <w:rsid w:val="006005E8"/>
    <w:rsid w:val="00600940"/>
    <w:rsid w:val="00603719"/>
    <w:rsid w:val="006038E3"/>
    <w:rsid w:val="00604B7F"/>
    <w:rsid w:val="0060671B"/>
    <w:rsid w:val="00617D78"/>
    <w:rsid w:val="006209CB"/>
    <w:rsid w:val="00620E8C"/>
    <w:rsid w:val="006260C7"/>
    <w:rsid w:val="00630C7C"/>
    <w:rsid w:val="00631783"/>
    <w:rsid w:val="00631CAF"/>
    <w:rsid w:val="00633268"/>
    <w:rsid w:val="00635035"/>
    <w:rsid w:val="00640D93"/>
    <w:rsid w:val="00641006"/>
    <w:rsid w:val="00646A44"/>
    <w:rsid w:val="0064775F"/>
    <w:rsid w:val="00647F7C"/>
    <w:rsid w:val="00660957"/>
    <w:rsid w:val="00661A70"/>
    <w:rsid w:val="00661AA6"/>
    <w:rsid w:val="006621BD"/>
    <w:rsid w:val="006623F7"/>
    <w:rsid w:val="00671E47"/>
    <w:rsid w:val="00675C09"/>
    <w:rsid w:val="00676792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B66A9"/>
    <w:rsid w:val="006C69C7"/>
    <w:rsid w:val="006D09D6"/>
    <w:rsid w:val="006D15B1"/>
    <w:rsid w:val="006D3A73"/>
    <w:rsid w:val="006D6745"/>
    <w:rsid w:val="006D6FB0"/>
    <w:rsid w:val="006E0F33"/>
    <w:rsid w:val="006E230B"/>
    <w:rsid w:val="006E5F79"/>
    <w:rsid w:val="006F2A7D"/>
    <w:rsid w:val="006F6CB2"/>
    <w:rsid w:val="006F7ABB"/>
    <w:rsid w:val="00700EDF"/>
    <w:rsid w:val="0070461E"/>
    <w:rsid w:val="00705FC3"/>
    <w:rsid w:val="00707924"/>
    <w:rsid w:val="007103EF"/>
    <w:rsid w:val="00712A3E"/>
    <w:rsid w:val="00713DEC"/>
    <w:rsid w:val="00715CB4"/>
    <w:rsid w:val="00716ADE"/>
    <w:rsid w:val="007204EC"/>
    <w:rsid w:val="007221DC"/>
    <w:rsid w:val="0073332E"/>
    <w:rsid w:val="00737BA6"/>
    <w:rsid w:val="0074023A"/>
    <w:rsid w:val="00740D5F"/>
    <w:rsid w:val="00744B54"/>
    <w:rsid w:val="00745220"/>
    <w:rsid w:val="00746CD4"/>
    <w:rsid w:val="00751939"/>
    <w:rsid w:val="00752B3B"/>
    <w:rsid w:val="0075342B"/>
    <w:rsid w:val="007626DB"/>
    <w:rsid w:val="00766533"/>
    <w:rsid w:val="00770C2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1F0B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5C4"/>
    <w:rsid w:val="00804D0A"/>
    <w:rsid w:val="0080654B"/>
    <w:rsid w:val="008107B7"/>
    <w:rsid w:val="00811869"/>
    <w:rsid w:val="008133A2"/>
    <w:rsid w:val="00817768"/>
    <w:rsid w:val="008211DE"/>
    <w:rsid w:val="00823186"/>
    <w:rsid w:val="00825353"/>
    <w:rsid w:val="00825940"/>
    <w:rsid w:val="00825991"/>
    <w:rsid w:val="008265A8"/>
    <w:rsid w:val="00835698"/>
    <w:rsid w:val="00836AC8"/>
    <w:rsid w:val="008414E3"/>
    <w:rsid w:val="00842095"/>
    <w:rsid w:val="00851F14"/>
    <w:rsid w:val="008604DC"/>
    <w:rsid w:val="00860B36"/>
    <w:rsid w:val="00861FE2"/>
    <w:rsid w:val="00864FD2"/>
    <w:rsid w:val="00870534"/>
    <w:rsid w:val="00871C04"/>
    <w:rsid w:val="00875EAE"/>
    <w:rsid w:val="0087794D"/>
    <w:rsid w:val="008878CB"/>
    <w:rsid w:val="00890B0B"/>
    <w:rsid w:val="00891C58"/>
    <w:rsid w:val="008A1AD2"/>
    <w:rsid w:val="008A2D77"/>
    <w:rsid w:val="008A5731"/>
    <w:rsid w:val="008A62BA"/>
    <w:rsid w:val="008A787F"/>
    <w:rsid w:val="008A7AFC"/>
    <w:rsid w:val="008B7522"/>
    <w:rsid w:val="008C2300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03098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7423A"/>
    <w:rsid w:val="009845DF"/>
    <w:rsid w:val="00984D7D"/>
    <w:rsid w:val="00984E02"/>
    <w:rsid w:val="009858B8"/>
    <w:rsid w:val="009901AF"/>
    <w:rsid w:val="0099057A"/>
    <w:rsid w:val="00992FA0"/>
    <w:rsid w:val="0099449B"/>
    <w:rsid w:val="00994534"/>
    <w:rsid w:val="00996811"/>
    <w:rsid w:val="00997826"/>
    <w:rsid w:val="009A19D7"/>
    <w:rsid w:val="009A262F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42CD"/>
    <w:rsid w:val="009F5622"/>
    <w:rsid w:val="009F6492"/>
    <w:rsid w:val="009F6553"/>
    <w:rsid w:val="00A03E72"/>
    <w:rsid w:val="00A0466E"/>
    <w:rsid w:val="00A05CA7"/>
    <w:rsid w:val="00A06050"/>
    <w:rsid w:val="00A10117"/>
    <w:rsid w:val="00A137A3"/>
    <w:rsid w:val="00A13BCD"/>
    <w:rsid w:val="00A14312"/>
    <w:rsid w:val="00A21101"/>
    <w:rsid w:val="00A24FDC"/>
    <w:rsid w:val="00A25DEB"/>
    <w:rsid w:val="00A27AF7"/>
    <w:rsid w:val="00A36B68"/>
    <w:rsid w:val="00A37DD9"/>
    <w:rsid w:val="00A4236A"/>
    <w:rsid w:val="00A443E0"/>
    <w:rsid w:val="00A44633"/>
    <w:rsid w:val="00A4786A"/>
    <w:rsid w:val="00A51B9D"/>
    <w:rsid w:val="00A53BB7"/>
    <w:rsid w:val="00A545E3"/>
    <w:rsid w:val="00A55CBB"/>
    <w:rsid w:val="00A564DB"/>
    <w:rsid w:val="00A57E91"/>
    <w:rsid w:val="00A63939"/>
    <w:rsid w:val="00A66697"/>
    <w:rsid w:val="00A7200D"/>
    <w:rsid w:val="00A747A6"/>
    <w:rsid w:val="00A74F74"/>
    <w:rsid w:val="00A75FDA"/>
    <w:rsid w:val="00A8205A"/>
    <w:rsid w:val="00A8340C"/>
    <w:rsid w:val="00A838F8"/>
    <w:rsid w:val="00A84FF9"/>
    <w:rsid w:val="00A900A0"/>
    <w:rsid w:val="00A90B77"/>
    <w:rsid w:val="00A90E27"/>
    <w:rsid w:val="00A93BB5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4608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4873"/>
    <w:rsid w:val="00B051F6"/>
    <w:rsid w:val="00B06CB4"/>
    <w:rsid w:val="00B079FD"/>
    <w:rsid w:val="00B07DD7"/>
    <w:rsid w:val="00B20430"/>
    <w:rsid w:val="00B23CC8"/>
    <w:rsid w:val="00B319DC"/>
    <w:rsid w:val="00B33D7B"/>
    <w:rsid w:val="00B4005F"/>
    <w:rsid w:val="00B41668"/>
    <w:rsid w:val="00B4482B"/>
    <w:rsid w:val="00B46C73"/>
    <w:rsid w:val="00B51DFE"/>
    <w:rsid w:val="00B552A0"/>
    <w:rsid w:val="00B578F5"/>
    <w:rsid w:val="00B6297B"/>
    <w:rsid w:val="00B70705"/>
    <w:rsid w:val="00B71BF8"/>
    <w:rsid w:val="00B738D4"/>
    <w:rsid w:val="00B8095E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18"/>
    <w:rsid w:val="00BA3582"/>
    <w:rsid w:val="00BA567A"/>
    <w:rsid w:val="00BA7488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78D6"/>
    <w:rsid w:val="00BE1CB7"/>
    <w:rsid w:val="00BE57EA"/>
    <w:rsid w:val="00BF15DB"/>
    <w:rsid w:val="00BF24DD"/>
    <w:rsid w:val="00BF3886"/>
    <w:rsid w:val="00BF3D3A"/>
    <w:rsid w:val="00BF6C85"/>
    <w:rsid w:val="00BF7341"/>
    <w:rsid w:val="00C00D67"/>
    <w:rsid w:val="00C00DEB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5DC6"/>
    <w:rsid w:val="00C479A0"/>
    <w:rsid w:val="00C479A6"/>
    <w:rsid w:val="00C54C64"/>
    <w:rsid w:val="00C56D81"/>
    <w:rsid w:val="00C70408"/>
    <w:rsid w:val="00C710F7"/>
    <w:rsid w:val="00C84F13"/>
    <w:rsid w:val="00C8622D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B73DF"/>
    <w:rsid w:val="00CD4FCE"/>
    <w:rsid w:val="00CE1C8D"/>
    <w:rsid w:val="00CE4ED9"/>
    <w:rsid w:val="00CF0476"/>
    <w:rsid w:val="00CF049C"/>
    <w:rsid w:val="00CF2381"/>
    <w:rsid w:val="00CF3117"/>
    <w:rsid w:val="00D029AC"/>
    <w:rsid w:val="00D0688B"/>
    <w:rsid w:val="00D13E0A"/>
    <w:rsid w:val="00D27428"/>
    <w:rsid w:val="00D30E94"/>
    <w:rsid w:val="00D31640"/>
    <w:rsid w:val="00D33BB6"/>
    <w:rsid w:val="00D35C1D"/>
    <w:rsid w:val="00D44F01"/>
    <w:rsid w:val="00D4528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1E22"/>
    <w:rsid w:val="00DD6102"/>
    <w:rsid w:val="00DE3ABA"/>
    <w:rsid w:val="00DF0365"/>
    <w:rsid w:val="00DF15F4"/>
    <w:rsid w:val="00DF2405"/>
    <w:rsid w:val="00DF4F49"/>
    <w:rsid w:val="00DF5A63"/>
    <w:rsid w:val="00DF6F2B"/>
    <w:rsid w:val="00E00AC5"/>
    <w:rsid w:val="00E01A56"/>
    <w:rsid w:val="00E049B9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5120"/>
    <w:rsid w:val="00E7521C"/>
    <w:rsid w:val="00E82812"/>
    <w:rsid w:val="00E9439D"/>
    <w:rsid w:val="00E973E7"/>
    <w:rsid w:val="00E97E50"/>
    <w:rsid w:val="00EA566E"/>
    <w:rsid w:val="00EA6167"/>
    <w:rsid w:val="00EB1E94"/>
    <w:rsid w:val="00EB619C"/>
    <w:rsid w:val="00EC10F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2E6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9D1"/>
    <w:rsid w:val="00F12E21"/>
    <w:rsid w:val="00F15C08"/>
    <w:rsid w:val="00F160B7"/>
    <w:rsid w:val="00F204E7"/>
    <w:rsid w:val="00F20E71"/>
    <w:rsid w:val="00F22DB5"/>
    <w:rsid w:val="00F25F15"/>
    <w:rsid w:val="00F276EF"/>
    <w:rsid w:val="00F348E7"/>
    <w:rsid w:val="00F3551A"/>
    <w:rsid w:val="00F4055D"/>
    <w:rsid w:val="00F441CB"/>
    <w:rsid w:val="00F44905"/>
    <w:rsid w:val="00F44C44"/>
    <w:rsid w:val="00F521AF"/>
    <w:rsid w:val="00F55104"/>
    <w:rsid w:val="00F601D4"/>
    <w:rsid w:val="00F66C0E"/>
    <w:rsid w:val="00F730D0"/>
    <w:rsid w:val="00F764BC"/>
    <w:rsid w:val="00F7671D"/>
    <w:rsid w:val="00F77332"/>
    <w:rsid w:val="00F80030"/>
    <w:rsid w:val="00F806B3"/>
    <w:rsid w:val="00F8325F"/>
    <w:rsid w:val="00F832E9"/>
    <w:rsid w:val="00F84B70"/>
    <w:rsid w:val="00F84F2C"/>
    <w:rsid w:val="00F857E6"/>
    <w:rsid w:val="00F915BE"/>
    <w:rsid w:val="00F91826"/>
    <w:rsid w:val="00F95C83"/>
    <w:rsid w:val="00F97839"/>
    <w:rsid w:val="00FA0251"/>
    <w:rsid w:val="00FA1785"/>
    <w:rsid w:val="00FA1ED0"/>
    <w:rsid w:val="00FA2122"/>
    <w:rsid w:val="00FA2C85"/>
    <w:rsid w:val="00FA5C2A"/>
    <w:rsid w:val="00FA63F0"/>
    <w:rsid w:val="00FB6102"/>
    <w:rsid w:val="00FB6DA3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610C"/>
    <w:rsid w:val="00FF64A8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40F-84C2-4BA2-8DAB-280A4EEB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2023-03-30T13:00:00Z</cp:lastPrinted>
  <dcterms:created xsi:type="dcterms:W3CDTF">2023-03-29T07:02:00Z</dcterms:created>
  <dcterms:modified xsi:type="dcterms:W3CDTF">2023-04-03T13:18:00Z</dcterms:modified>
</cp:coreProperties>
</file>